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B53EA">
      <w:pPr>
        <w:tabs>
          <w:tab w:val="left" w:pos="6480"/>
          <w:tab w:val="left" w:leader="underscore" w:pos="9180"/>
        </w:tabs>
        <w:rPr>
          <w:sz w:val="22"/>
        </w:rPr>
      </w:pPr>
      <w:r>
        <w:rPr>
          <w:sz w:val="22"/>
        </w:rPr>
        <w:tab/>
        <w:t xml:space="preserve">Date: 8 </w:t>
      </w:r>
      <w:r>
        <w:t>March 2001</w:t>
      </w:r>
    </w:p>
    <w:p w:rsidR="00000000" w:rsidRDefault="001B53EA">
      <w:pPr>
        <w:jc w:val="center"/>
        <w:rPr>
          <w:b/>
          <w:i/>
          <w:sz w:val="16"/>
          <w:u w:val="single"/>
        </w:rPr>
      </w:pPr>
      <w:r>
        <w:rPr>
          <w:b/>
          <w:i/>
          <w:sz w:val="28"/>
          <w:u w:val="single"/>
        </w:rPr>
        <w:t xml:space="preserve">ANSI Project Initiation Notification System (PINS) Form </w:t>
      </w:r>
      <w:r>
        <w:rPr>
          <w:b/>
          <w:i/>
          <w:sz w:val="16"/>
          <w:u w:val="single"/>
        </w:rPr>
        <w:t>(Rev. 7/99)</w:t>
      </w:r>
    </w:p>
    <w:p w:rsidR="00000000" w:rsidRDefault="001B53EA">
      <w:pPr>
        <w:spacing w:after="120"/>
        <w:jc w:val="center"/>
        <w:rPr>
          <w:sz w:val="20"/>
        </w:rPr>
      </w:pPr>
      <w:r>
        <w:rPr>
          <w:sz w:val="20"/>
        </w:rPr>
        <w:t xml:space="preserve">This form may be faxed to 212-730-1346 or sent via E-mail to </w:t>
      </w:r>
      <w:r>
        <w:rPr>
          <w:rStyle w:val="Hyperlink"/>
          <w:sz w:val="20"/>
        </w:rPr>
        <w:t>mweldon@ansi.org</w:t>
      </w:r>
      <w:r>
        <w:rPr>
          <w:sz w:val="20"/>
        </w:rPr>
        <w:t xml:space="preserve"> or </w:t>
      </w:r>
      <w:r>
        <w:rPr>
          <w:rStyle w:val="Hyperlink"/>
          <w:sz w:val="20"/>
        </w:rPr>
        <w:t>psa@ansi.org</w:t>
      </w:r>
    </w:p>
    <w:p w:rsidR="00000000" w:rsidRDefault="001B53EA">
      <w:pPr>
        <w:numPr>
          <w:ilvl w:val="0"/>
          <w:numId w:val="1"/>
        </w:numPr>
        <w:tabs>
          <w:tab w:val="left" w:pos="360"/>
        </w:tabs>
        <w:spacing w:after="360"/>
        <w:rPr>
          <w:sz w:val="22"/>
        </w:rPr>
      </w:pPr>
      <w:r>
        <w:rPr>
          <w:sz w:val="22"/>
        </w:rPr>
        <w:t xml:space="preserve">Name of Accredited Standards Developer (include acronym if applicable):   </w:t>
      </w:r>
      <w:r>
        <w:rPr>
          <w:sz w:val="22"/>
        </w:rPr>
        <w:t xml:space="preserve">                                          </w:t>
      </w:r>
      <w:r>
        <w:rPr>
          <w:b/>
          <w:sz w:val="22"/>
        </w:rPr>
        <w:t>Accredited Standards Committee, C63 on Electromagnetic Compatibility (EMC)</w:t>
      </w:r>
    </w:p>
    <w:p w:rsidR="00000000" w:rsidRDefault="001B53EA">
      <w:pPr>
        <w:numPr>
          <w:ilvl w:val="0"/>
          <w:numId w:val="1"/>
        </w:numPr>
        <w:tabs>
          <w:tab w:val="left" w:pos="360"/>
        </w:tabs>
        <w:rPr>
          <w:sz w:val="22"/>
        </w:rPr>
      </w:pPr>
      <w:r>
        <w:rPr>
          <w:sz w:val="22"/>
        </w:rPr>
        <w:t xml:space="preserve">Method and Date of Accreditation: </w:t>
      </w:r>
      <w:r>
        <w:rPr>
          <w:b/>
          <w:sz w:val="22"/>
        </w:rPr>
        <w:t>ASC</w:t>
      </w:r>
      <w:r>
        <w:rPr>
          <w:sz w:val="22"/>
        </w:rPr>
        <w:t xml:space="preserve"> - </w:t>
      </w:r>
      <w:r>
        <w:rPr>
          <w:b/>
          <w:color w:val="0000FF"/>
          <w:sz w:val="22"/>
        </w:rPr>
        <w:t>August 1, 1985</w:t>
      </w:r>
    </w:p>
    <w:p w:rsidR="00000000" w:rsidRDefault="001B53EA">
      <w:pPr>
        <w:tabs>
          <w:tab w:val="left" w:pos="360"/>
        </w:tabs>
        <w:rPr>
          <w:sz w:val="22"/>
        </w:rPr>
      </w:pPr>
      <w:r>
        <w:rPr>
          <w:sz w:val="22"/>
        </w:rPr>
        <w:tab/>
        <w:t>Operating procedures (check one) [</w:t>
      </w:r>
      <w:r>
        <w:rPr>
          <w:b/>
          <w:sz w:val="22"/>
        </w:rPr>
        <w:t>X</w:t>
      </w:r>
      <w:r>
        <w:rPr>
          <w:sz w:val="22"/>
        </w:rPr>
        <w:t xml:space="preserve">] </w:t>
      </w:r>
      <w:r>
        <w:rPr>
          <w:b/>
          <w:sz w:val="22"/>
        </w:rPr>
        <w:t>Have</w:t>
      </w:r>
      <w:r>
        <w:rPr>
          <w:sz w:val="22"/>
        </w:rPr>
        <w:tab/>
        <w:t>[__] Have Not   been revised since that d</w:t>
      </w:r>
      <w:r>
        <w:rPr>
          <w:sz w:val="22"/>
        </w:rPr>
        <w:t>ate</w:t>
      </w:r>
    </w:p>
    <w:p w:rsidR="00000000" w:rsidRDefault="001B53EA">
      <w:pPr>
        <w:numPr>
          <w:ilvl w:val="12"/>
          <w:numId w:val="0"/>
        </w:numPr>
        <w:tabs>
          <w:tab w:val="left" w:pos="720"/>
          <w:tab w:val="left" w:pos="4500"/>
        </w:tabs>
        <w:spacing w:after="120"/>
        <w:ind w:left="360" w:hanging="360"/>
        <w:rPr>
          <w:sz w:val="22"/>
        </w:rPr>
      </w:pPr>
      <w:r>
        <w:rPr>
          <w:sz w:val="22"/>
        </w:rPr>
        <w:tab/>
        <w:t>These revisions (check one) [</w:t>
      </w:r>
      <w:r>
        <w:rPr>
          <w:b/>
          <w:sz w:val="22"/>
        </w:rPr>
        <w:t>X</w:t>
      </w:r>
      <w:r>
        <w:rPr>
          <w:sz w:val="22"/>
        </w:rPr>
        <w:t xml:space="preserve">] </w:t>
      </w:r>
      <w:r>
        <w:rPr>
          <w:b/>
          <w:sz w:val="22"/>
        </w:rPr>
        <w:t>Have</w:t>
      </w:r>
      <w:r>
        <w:rPr>
          <w:sz w:val="22"/>
        </w:rPr>
        <w:tab/>
        <w:t>[__] Have Not   been submitted to ANSI for review.</w:t>
      </w:r>
    </w:p>
    <w:p w:rsidR="00000000" w:rsidRDefault="001B53EA">
      <w:pPr>
        <w:numPr>
          <w:ilvl w:val="0"/>
          <w:numId w:val="1"/>
        </w:numPr>
        <w:tabs>
          <w:tab w:val="left" w:pos="360"/>
        </w:tabs>
        <w:spacing w:after="360"/>
        <w:rPr>
          <w:sz w:val="22"/>
        </w:rPr>
      </w:pPr>
      <w:r>
        <w:rPr>
          <w:sz w:val="22"/>
        </w:rPr>
        <w:t xml:space="preserve">Designation of Project: </w:t>
      </w:r>
      <w:r>
        <w:rPr>
          <w:b/>
        </w:rPr>
        <w:t>C63.24</w:t>
      </w:r>
    </w:p>
    <w:p w:rsidR="00000000" w:rsidRDefault="001B53EA">
      <w:pPr>
        <w:numPr>
          <w:ilvl w:val="0"/>
          <w:numId w:val="1"/>
        </w:numPr>
        <w:tabs>
          <w:tab w:val="left" w:pos="360"/>
        </w:tabs>
        <w:spacing w:after="360"/>
        <w:rPr>
          <w:sz w:val="22"/>
        </w:rPr>
      </w:pPr>
      <w:r>
        <w:rPr>
          <w:sz w:val="22"/>
        </w:rPr>
        <w:t xml:space="preserve">Title of Project: </w:t>
      </w:r>
      <w:r>
        <w:rPr>
          <w:b/>
        </w:rPr>
        <w:t>Recommended Practice for On-Site ad-hoc Test Method for Estimating Radiated Electromagnetic Immunity of Electronic</w:t>
      </w:r>
      <w:r>
        <w:rPr>
          <w:b/>
        </w:rPr>
        <w:t xml:space="preserve"> Devices to Specific Radio-Frequency Transmitters</w:t>
      </w:r>
    </w:p>
    <w:p w:rsidR="00000000" w:rsidRDefault="001B53EA">
      <w:pPr>
        <w:numPr>
          <w:ilvl w:val="0"/>
          <w:numId w:val="1"/>
        </w:numPr>
        <w:tabs>
          <w:tab w:val="left" w:pos="360"/>
        </w:tabs>
        <w:spacing w:after="360"/>
        <w:rPr>
          <w:sz w:val="22"/>
        </w:rPr>
      </w:pPr>
      <w:r>
        <w:rPr>
          <w:sz w:val="22"/>
        </w:rPr>
        <w:t>Scope Summary or Abstract of Project</w:t>
      </w:r>
      <w:r>
        <w:rPr>
          <w:rStyle w:val="FootnoteReference"/>
          <w:sz w:val="22"/>
        </w:rPr>
        <w:footnoteReference w:customMarkFollows="1" w:id="1"/>
        <w:sym w:font="Symbol" w:char="F0D1"/>
      </w:r>
      <w:r>
        <w:rPr>
          <w:sz w:val="22"/>
        </w:rPr>
        <w:t xml:space="preserve"> : </w:t>
      </w:r>
      <w:r>
        <w:rPr>
          <w:b/>
        </w:rPr>
        <w:t>Requests have been made for testing of electromagnetic compatibility between hand-held wireless transmitters (cell phones and radios) and electronic devices used in m</w:t>
      </w:r>
      <w:r>
        <w:rPr>
          <w:b/>
        </w:rPr>
        <w:t>anufacturing and industry. The size and limited availability of these devices often make testing under controlled laboratory conditions unrealistic, and therefore an on-site and ad hoc test protocol, similar to that drafted for medical-specific devices, is</w:t>
      </w:r>
      <w:r>
        <w:rPr>
          <w:b/>
        </w:rPr>
        <w:t xml:space="preserve"> proposed.</w:t>
      </w:r>
    </w:p>
    <w:p w:rsidR="00000000" w:rsidRDefault="001B53EA">
      <w:pPr>
        <w:numPr>
          <w:ilvl w:val="0"/>
          <w:numId w:val="1"/>
        </w:numPr>
        <w:tabs>
          <w:tab w:val="left" w:pos="360"/>
        </w:tabs>
        <w:rPr>
          <w:sz w:val="22"/>
        </w:rPr>
      </w:pPr>
      <w:r>
        <w:rPr>
          <w:sz w:val="22"/>
        </w:rPr>
        <w:t>Check here if the standard covers a consumer product or service:  [   ]</w:t>
      </w:r>
    </w:p>
    <w:p w:rsidR="00000000" w:rsidRDefault="001B53EA">
      <w:pPr>
        <w:numPr>
          <w:ilvl w:val="0"/>
          <w:numId w:val="1"/>
        </w:numPr>
        <w:tabs>
          <w:tab w:val="left" w:pos="360"/>
        </w:tabs>
        <w:rPr>
          <w:sz w:val="22"/>
        </w:rPr>
      </w:pPr>
      <w:r>
        <w:rPr>
          <w:sz w:val="22"/>
        </w:rPr>
        <w:t>DEVELOPER MUST BE REGISTERED FORMALLY TO USE THIS OPTION:  Check here if this standard will be maintained using the Continuous Maintenance Option in accordance with clause 4</w:t>
      </w:r>
      <w:r>
        <w:rPr>
          <w:sz w:val="22"/>
        </w:rPr>
        <w:t xml:space="preserve">.4.2 of the </w:t>
      </w:r>
      <w:r>
        <w:rPr>
          <w:i/>
          <w:sz w:val="22"/>
        </w:rPr>
        <w:t>ANSI Procedures</w:t>
      </w:r>
      <w:r>
        <w:rPr>
          <w:sz w:val="22"/>
        </w:rPr>
        <w:t>: [ ]</w:t>
      </w:r>
    </w:p>
    <w:p w:rsidR="00000000" w:rsidRDefault="001B53EA">
      <w:pPr>
        <w:numPr>
          <w:ilvl w:val="0"/>
          <w:numId w:val="2"/>
        </w:numPr>
        <w:rPr>
          <w:sz w:val="22"/>
        </w:rPr>
      </w:pPr>
      <w:r>
        <w:rPr>
          <w:sz w:val="22"/>
        </w:rPr>
        <w:t>Canvass developers:  check here if you are also requesting the publication of an initiation of canvass announcement: [__]</w:t>
      </w:r>
    </w:p>
    <w:p w:rsidR="00000000" w:rsidRDefault="001B53EA">
      <w:pPr>
        <w:numPr>
          <w:ilvl w:val="0"/>
          <w:numId w:val="2"/>
        </w:numPr>
        <w:tabs>
          <w:tab w:val="left" w:pos="5040"/>
        </w:tabs>
        <w:rPr>
          <w:sz w:val="22"/>
        </w:rPr>
      </w:pPr>
      <w:r>
        <w:rPr>
          <w:sz w:val="22"/>
        </w:rPr>
        <w:t>Units of measurement used in the standard (check one):</w:t>
      </w:r>
    </w:p>
    <w:p w:rsidR="00000000" w:rsidRDefault="001B53EA">
      <w:pPr>
        <w:numPr>
          <w:ilvl w:val="12"/>
          <w:numId w:val="0"/>
        </w:numPr>
        <w:tabs>
          <w:tab w:val="left" w:pos="3690"/>
          <w:tab w:val="left" w:pos="5220"/>
          <w:tab w:val="left" w:pos="6210"/>
          <w:tab w:val="left" w:pos="7200"/>
        </w:tabs>
        <w:spacing w:after="120"/>
        <w:ind w:left="360" w:right="-540" w:hanging="360"/>
        <w:rPr>
          <w:sz w:val="20"/>
        </w:rPr>
      </w:pPr>
      <w:r>
        <w:rPr>
          <w:sz w:val="20"/>
        </w:rPr>
        <w:t>[</w:t>
      </w:r>
      <w:r>
        <w:rPr>
          <w:b/>
          <w:sz w:val="20"/>
        </w:rPr>
        <w:t>X</w:t>
      </w:r>
      <w:r>
        <w:rPr>
          <w:sz w:val="20"/>
        </w:rPr>
        <w:t xml:space="preserve">]  International System of Units (SI) </w:t>
      </w:r>
      <w:r>
        <w:rPr>
          <w:sz w:val="20"/>
        </w:rPr>
        <w:tab/>
        <w:t>[</w:t>
      </w:r>
      <w:r>
        <w:rPr>
          <w:b/>
          <w:sz w:val="20"/>
        </w:rPr>
        <w:t xml:space="preserve">   </w:t>
      </w:r>
      <w:r>
        <w:rPr>
          <w:sz w:val="20"/>
        </w:rPr>
        <w:t>]</w:t>
      </w:r>
      <w:r>
        <w:rPr>
          <w:sz w:val="20"/>
        </w:rPr>
        <w:t xml:space="preserve">  Inch/Pound</w:t>
      </w:r>
      <w:r>
        <w:rPr>
          <w:sz w:val="20"/>
        </w:rPr>
        <w:tab/>
        <w:t>[__]  Both</w:t>
      </w:r>
      <w:r>
        <w:rPr>
          <w:sz w:val="20"/>
        </w:rPr>
        <w:tab/>
        <w:t>[__] Other</w:t>
      </w:r>
      <w:r>
        <w:rPr>
          <w:sz w:val="20"/>
        </w:rPr>
        <w:tab/>
        <w:t>[__]  Not Measurement Sensitive</w:t>
      </w:r>
    </w:p>
    <w:p w:rsidR="00000000" w:rsidRDefault="001B53EA">
      <w:pPr>
        <w:numPr>
          <w:ilvl w:val="0"/>
          <w:numId w:val="1"/>
        </w:numPr>
        <w:tabs>
          <w:tab w:val="left" w:pos="360"/>
        </w:tabs>
        <w:spacing w:after="360"/>
        <w:ind w:left="230" w:hanging="230"/>
        <w:rPr>
          <w:sz w:val="22"/>
        </w:rPr>
      </w:pPr>
      <w:r>
        <w:rPr>
          <w:sz w:val="22"/>
        </w:rPr>
        <w:t xml:space="preserve">Additional Keywords (not contained in title or scope summary/abstract): </w:t>
      </w:r>
      <w:r>
        <w:rPr>
          <w:b/>
        </w:rPr>
        <w:t>Radio transmitters, Cellular telephones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498"/>
        <w:gridCol w:w="394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498" w:type="dxa"/>
          </w:tcPr>
          <w:p w:rsidR="00000000" w:rsidRDefault="001B53EA">
            <w:pPr>
              <w:spacing w:line="220" w:lineRule="exact"/>
            </w:pPr>
            <w:r>
              <w:rPr>
                <w:sz w:val="22"/>
              </w:rPr>
              <w:t xml:space="preserve">11.  Project Intent </w:t>
            </w:r>
            <w:r>
              <w:rPr>
                <w:sz w:val="16"/>
              </w:rPr>
              <w:t xml:space="preserve">( relates to the status of the standard in terms of ANSI </w:t>
            </w:r>
            <w:r>
              <w:rPr>
                <w:sz w:val="16"/>
              </w:rPr>
              <w:t>only, e.g., any standard that is not an approved ANS, is a new standard)</w:t>
            </w:r>
            <w:r>
              <w:t>:</w:t>
            </w:r>
          </w:p>
        </w:tc>
        <w:tc>
          <w:tcPr>
            <w:tcW w:w="3942" w:type="dxa"/>
          </w:tcPr>
          <w:p w:rsidR="00000000" w:rsidRDefault="001B53EA">
            <w:pPr>
              <w:spacing w:line="220" w:lineRule="exact"/>
            </w:pPr>
            <w:r>
              <w:rPr>
                <w:sz w:val="22"/>
              </w:rPr>
              <w:t>Supersedes:</w:t>
            </w:r>
            <w:r>
              <w:rPr>
                <w:sz w:val="16"/>
              </w:rPr>
              <w:t xml:space="preserve"> (relates to the currently approved ANSI standard(s):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8" w:type="dxa"/>
          </w:tcPr>
          <w:p w:rsidR="00000000" w:rsidRDefault="001B53EA">
            <w:pPr>
              <w:rPr>
                <w:sz w:val="22"/>
              </w:rPr>
            </w:pPr>
            <w:r>
              <w:rPr>
                <w:b/>
                <w:sz w:val="22"/>
              </w:rPr>
              <w:t>[X]     Prepare a New ANS</w:t>
            </w:r>
          </w:p>
        </w:tc>
        <w:tc>
          <w:tcPr>
            <w:tcW w:w="3942" w:type="dxa"/>
          </w:tcPr>
          <w:p w:rsidR="00000000" w:rsidRDefault="001B53EA">
            <w:pPr>
              <w:pStyle w:val="Heading1"/>
            </w:pPr>
            <w:r>
              <w:t>New Standard</w:t>
            </w:r>
          </w:p>
        </w:tc>
      </w:tr>
    </w:tbl>
    <w:p w:rsidR="00000000" w:rsidRDefault="001B53EA">
      <w:pPr>
        <w:tabs>
          <w:tab w:val="left" w:pos="450"/>
          <w:tab w:val="left" w:pos="9918"/>
        </w:tabs>
        <w:spacing w:line="220" w:lineRule="exact"/>
        <w:ind w:left="-72"/>
        <w:rPr>
          <w:sz w:val="22"/>
        </w:rPr>
      </w:pPr>
    </w:p>
    <w:p w:rsidR="00000000" w:rsidRDefault="001B53EA">
      <w:pPr>
        <w:numPr>
          <w:ilvl w:val="0"/>
          <w:numId w:val="3"/>
        </w:numPr>
        <w:tabs>
          <w:tab w:val="left" w:pos="360"/>
          <w:tab w:val="left" w:leader="underscore" w:pos="8640"/>
        </w:tabs>
        <w:rPr>
          <w:sz w:val="22"/>
        </w:rPr>
      </w:pPr>
      <w:r>
        <w:rPr>
          <w:sz w:val="22"/>
        </w:rPr>
        <w:t xml:space="preserve">a.  Expected Initiation of Project Development: </w:t>
      </w:r>
      <w:r>
        <w:rPr>
          <w:b/>
        </w:rPr>
        <w:t>July 2001</w:t>
      </w:r>
      <w:r>
        <w:rPr>
          <w:sz w:val="22"/>
        </w:rPr>
        <w:tab/>
      </w:r>
    </w:p>
    <w:p w:rsidR="00000000" w:rsidRDefault="001B53EA">
      <w:pPr>
        <w:numPr>
          <w:ilvl w:val="12"/>
          <w:numId w:val="0"/>
        </w:numPr>
        <w:tabs>
          <w:tab w:val="left" w:leader="underscore" w:pos="8640"/>
        </w:tabs>
        <w:spacing w:after="120"/>
        <w:ind w:left="230" w:hanging="230"/>
        <w:rPr>
          <w:sz w:val="22"/>
        </w:rPr>
      </w:pPr>
      <w:r>
        <w:rPr>
          <w:sz w:val="22"/>
        </w:rPr>
        <w:t>b.  Expected Com</w:t>
      </w:r>
      <w:r>
        <w:rPr>
          <w:sz w:val="22"/>
        </w:rPr>
        <w:t xml:space="preserve">pletion of Project (i.e., submittal of BSR-8): </w:t>
      </w:r>
      <w:r>
        <w:rPr>
          <w:b/>
        </w:rPr>
        <w:t>February 2002</w:t>
      </w:r>
      <w:r>
        <w:rPr>
          <w:sz w:val="22"/>
        </w:rPr>
        <w:tab/>
      </w:r>
    </w:p>
    <w:p w:rsidR="00000000" w:rsidRDefault="001B53EA">
      <w:pPr>
        <w:numPr>
          <w:ilvl w:val="0"/>
          <w:numId w:val="3"/>
        </w:numPr>
        <w:tabs>
          <w:tab w:val="left" w:pos="360"/>
          <w:tab w:val="left" w:pos="7200"/>
        </w:tabs>
        <w:spacing w:after="120"/>
        <w:rPr>
          <w:sz w:val="22"/>
        </w:rPr>
      </w:pPr>
      <w:r>
        <w:rPr>
          <w:sz w:val="22"/>
        </w:rPr>
        <w:t>Contact (Staff person responsible for this technical area):</w:t>
      </w:r>
    </w:p>
    <w:p w:rsidR="00000000" w:rsidRDefault="001B53EA">
      <w:pPr>
        <w:tabs>
          <w:tab w:val="left" w:pos="360"/>
          <w:tab w:val="left" w:leader="underscore" w:pos="4680"/>
          <w:tab w:val="left" w:pos="5040"/>
          <w:tab w:val="left" w:leader="underscore" w:pos="9180"/>
        </w:tabs>
        <w:rPr>
          <w:sz w:val="22"/>
        </w:rPr>
      </w:pPr>
      <w:r>
        <w:rPr>
          <w:sz w:val="22"/>
        </w:rPr>
        <w:tab/>
        <w:t xml:space="preserve">Name:         </w:t>
      </w:r>
      <w:r>
        <w:rPr>
          <w:b/>
          <w:sz w:val="22"/>
        </w:rPr>
        <w:t>R. L. Pritchard</w:t>
      </w:r>
      <w:r>
        <w:rPr>
          <w:sz w:val="22"/>
        </w:rPr>
        <w:tab/>
      </w:r>
      <w:r>
        <w:rPr>
          <w:sz w:val="22"/>
        </w:rPr>
        <w:tab/>
        <w:t xml:space="preserve"> Title: </w:t>
      </w:r>
      <w:r>
        <w:rPr>
          <w:b/>
          <w:sz w:val="22"/>
        </w:rPr>
        <w:t>Secretary. ASC C63</w:t>
      </w:r>
      <w:r>
        <w:rPr>
          <w:sz w:val="22"/>
        </w:rPr>
        <w:tab/>
      </w:r>
    </w:p>
    <w:p w:rsidR="00000000" w:rsidRDefault="001B53EA">
      <w:pPr>
        <w:tabs>
          <w:tab w:val="left" w:pos="360"/>
          <w:tab w:val="left" w:leader="underscore" w:pos="9180"/>
        </w:tabs>
        <w:rPr>
          <w:sz w:val="22"/>
        </w:rPr>
      </w:pPr>
      <w:r>
        <w:rPr>
          <w:sz w:val="22"/>
        </w:rPr>
        <w:tab/>
        <w:t xml:space="preserve">Affiliation:    </w:t>
      </w:r>
      <w:r>
        <w:rPr>
          <w:b/>
          <w:sz w:val="22"/>
        </w:rPr>
        <w:t>IEEE</w:t>
      </w:r>
      <w:r>
        <w:rPr>
          <w:sz w:val="22"/>
        </w:rPr>
        <w:tab/>
      </w:r>
    </w:p>
    <w:p w:rsidR="00000000" w:rsidRDefault="001B53EA">
      <w:pPr>
        <w:tabs>
          <w:tab w:val="left" w:pos="360"/>
          <w:tab w:val="left" w:leader="underscore" w:pos="9180"/>
        </w:tabs>
        <w:rPr>
          <w:sz w:val="22"/>
        </w:rPr>
      </w:pPr>
      <w:r>
        <w:rPr>
          <w:sz w:val="22"/>
        </w:rPr>
        <w:tab/>
        <w:t xml:space="preserve">Address:      </w:t>
      </w:r>
      <w:r>
        <w:rPr>
          <w:b/>
          <w:sz w:val="22"/>
        </w:rPr>
        <w:t>440 East 79 Street, #8N</w:t>
      </w:r>
    </w:p>
    <w:p w:rsidR="00000000" w:rsidRDefault="001B53EA">
      <w:pPr>
        <w:tabs>
          <w:tab w:val="left" w:pos="360"/>
          <w:tab w:val="left" w:leader="underscore" w:pos="5220"/>
          <w:tab w:val="left" w:pos="5400"/>
          <w:tab w:val="left" w:leader="underscore" w:pos="7380"/>
          <w:tab w:val="left" w:leader="underscore" w:pos="9180"/>
        </w:tabs>
        <w:rPr>
          <w:sz w:val="22"/>
        </w:rPr>
      </w:pPr>
      <w:r>
        <w:rPr>
          <w:sz w:val="22"/>
        </w:rPr>
        <w:tab/>
        <w:t xml:space="preserve">City:      </w:t>
      </w:r>
      <w:r>
        <w:rPr>
          <w:sz w:val="22"/>
        </w:rPr>
        <w:t xml:space="preserve">      </w:t>
      </w:r>
      <w:r>
        <w:rPr>
          <w:b/>
          <w:sz w:val="22"/>
        </w:rPr>
        <w:t>New York</w:t>
      </w:r>
      <w:r>
        <w:rPr>
          <w:sz w:val="22"/>
        </w:rPr>
        <w:tab/>
      </w:r>
      <w:r>
        <w:rPr>
          <w:sz w:val="22"/>
        </w:rPr>
        <w:tab/>
        <w:t xml:space="preserve">State:  </w:t>
      </w:r>
      <w:r>
        <w:rPr>
          <w:b/>
          <w:sz w:val="22"/>
        </w:rPr>
        <w:t>NY</w:t>
      </w:r>
      <w:r>
        <w:rPr>
          <w:sz w:val="22"/>
        </w:rPr>
        <w:tab/>
        <w:t xml:space="preserve">Zip:  </w:t>
      </w:r>
      <w:r>
        <w:rPr>
          <w:b/>
          <w:sz w:val="22"/>
        </w:rPr>
        <w:t>10021</w:t>
      </w:r>
    </w:p>
    <w:p w:rsidR="00000000" w:rsidRDefault="001B53EA">
      <w:pPr>
        <w:tabs>
          <w:tab w:val="left" w:pos="360"/>
          <w:tab w:val="left" w:leader="underscore" w:pos="3780"/>
          <w:tab w:val="left" w:leader="underscore" w:pos="5400"/>
          <w:tab w:val="left" w:pos="5580"/>
          <w:tab w:val="left" w:leader="underscore" w:pos="9180"/>
        </w:tabs>
        <w:rPr>
          <w:sz w:val="22"/>
        </w:rPr>
      </w:pPr>
      <w:r>
        <w:rPr>
          <w:sz w:val="22"/>
        </w:rPr>
        <w:tab/>
        <w:t xml:space="preserve">Telephone:   </w:t>
      </w:r>
      <w:r>
        <w:rPr>
          <w:b/>
          <w:sz w:val="22"/>
        </w:rPr>
        <w:t>212-517-9446</w:t>
      </w:r>
      <w:r>
        <w:rPr>
          <w:sz w:val="22"/>
        </w:rPr>
        <w:tab/>
        <w:t xml:space="preserve">, ext </w:t>
      </w:r>
      <w:r>
        <w:rPr>
          <w:sz w:val="22"/>
        </w:rPr>
        <w:tab/>
      </w:r>
      <w:r>
        <w:rPr>
          <w:sz w:val="22"/>
        </w:rPr>
        <w:tab/>
        <w:t xml:space="preserve">Fax: </w:t>
      </w:r>
      <w:r>
        <w:rPr>
          <w:b/>
          <w:sz w:val="22"/>
        </w:rPr>
        <w:t>212-517-9446</w:t>
      </w:r>
    </w:p>
    <w:p w:rsidR="00000000" w:rsidRDefault="001B53EA">
      <w:pPr>
        <w:tabs>
          <w:tab w:val="left" w:pos="360"/>
          <w:tab w:val="left" w:leader="underscore" w:pos="5040"/>
          <w:tab w:val="left" w:pos="5220"/>
        </w:tabs>
        <w:rPr>
          <w:sz w:val="22"/>
          <w:u w:val="single"/>
        </w:rPr>
      </w:pPr>
      <w:r>
        <w:rPr>
          <w:sz w:val="22"/>
        </w:rPr>
        <w:tab/>
        <w:t xml:space="preserve">E-mail:       </w:t>
      </w:r>
      <w:r>
        <w:rPr>
          <w:b/>
          <w:sz w:val="22"/>
        </w:rPr>
        <w:t xml:space="preserve">  r.pritchard@ieee.org</w:t>
      </w:r>
      <w:r>
        <w:rPr>
          <w:sz w:val="22"/>
        </w:rPr>
        <w:tab/>
        <w:t xml:space="preserve">Signature: 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</w:p>
    <w:p w:rsidR="001B53EA" w:rsidRDefault="001B53EA">
      <w:pPr>
        <w:tabs>
          <w:tab w:val="left" w:leader="underscore" w:pos="5580"/>
          <w:tab w:val="left" w:pos="5760"/>
          <w:tab w:val="left" w:leader="underscore" w:pos="9180"/>
        </w:tabs>
        <w:jc w:val="center"/>
      </w:pPr>
      <w:r>
        <w:br w:type="page"/>
      </w:r>
      <w:r>
        <w:rPr>
          <w:sz w:val="20"/>
        </w:rPr>
        <w:lastRenderedPageBreak/>
        <w:t xml:space="preserve"> </w:t>
      </w:r>
    </w:p>
    <w:sectPr w:rsidR="001B53EA">
      <w:pgSz w:w="12240" w:h="15840" w:code="1"/>
      <w:pgMar w:top="432" w:right="720" w:bottom="432" w:left="1152" w:header="720" w:footer="720" w:gutter="0"/>
      <w:paperSrc w:first="1" w:other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3EA" w:rsidRDefault="001B53EA">
      <w:r>
        <w:separator/>
      </w:r>
    </w:p>
  </w:endnote>
  <w:endnote w:type="continuationSeparator" w:id="0">
    <w:p w:rsidR="001B53EA" w:rsidRDefault="001B5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3EA" w:rsidRDefault="001B53EA">
      <w:r>
        <w:separator/>
      </w:r>
    </w:p>
  </w:footnote>
  <w:footnote w:type="continuationSeparator" w:id="0">
    <w:p w:rsidR="001B53EA" w:rsidRDefault="001B53EA">
      <w:r>
        <w:continuationSeparator/>
      </w:r>
    </w:p>
  </w:footnote>
  <w:footnote w:id="1">
    <w:p w:rsidR="00000000" w:rsidRDefault="001B53EA">
      <w:pPr>
        <w:pStyle w:val="FootnoteText"/>
      </w:pPr>
      <w:r>
        <w:rPr>
          <w:rStyle w:val="FootnoteReference"/>
          <w:sz w:val="16"/>
        </w:rPr>
        <w:sym w:font="Symbol" w:char="F0D1"/>
      </w:r>
      <w:r>
        <w:rPr>
          <w:sz w:val="16"/>
        </w:rPr>
        <w:t xml:space="preserve"> Attach separate sheet if necessary.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46BDC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43B23B54"/>
    <w:multiLevelType w:val="singleLevel"/>
    <w:tmpl w:val="0409000F"/>
    <w:lvl w:ilvl="0">
      <w:start w:val="12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626D2B2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802"/>
    <w:rsid w:val="001B53EA"/>
    <w:rsid w:val="00361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</w:rPr>
  </w:style>
  <w:style w:type="paragraph" w:styleId="BodyText">
    <w:name w:val="Body Text"/>
    <w:basedOn w:val="Normal"/>
    <w:semiHidden/>
    <w:rPr>
      <w:sz w:val="22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ANSI Standards Activities Tracking System</vt:lpstr>
    </vt:vector>
  </TitlesOfParts>
  <Company>Ansi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ANSI Standards Activities Tracking System</dc:title>
  <dc:subject>PINS revision</dc:subject>
  <dc:creator>Daisy Delogu</dc:creator>
  <cp:keywords/>
  <dc:description/>
  <cp:lastModifiedBy>IEEE</cp:lastModifiedBy>
  <cp:revision>2</cp:revision>
  <cp:lastPrinted>2000-08-01T18:42:00Z</cp:lastPrinted>
  <dcterms:created xsi:type="dcterms:W3CDTF">2009-10-22T15:37:00Z</dcterms:created>
  <dcterms:modified xsi:type="dcterms:W3CDTF">2009-10-22T15:37:00Z</dcterms:modified>
</cp:coreProperties>
</file>